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027EB" w:rsidRPr="00471D30" w:rsidRDefault="00471D3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71D30">
        <w:rPr>
          <w:rFonts w:asciiTheme="majorEastAsia" w:eastAsiaTheme="majorEastAsia" w:hAnsiTheme="majorEastAsia" w:cs="Arial Unicode MS"/>
          <w:sz w:val="24"/>
          <w:szCs w:val="24"/>
        </w:rPr>
        <w:t>輔仁大學德芳外語大樓寰宇廳管理辦法</w:t>
      </w:r>
    </w:p>
    <w:p w14:paraId="00000002" w14:textId="77777777" w:rsidR="007027EB" w:rsidRPr="00471D30" w:rsidRDefault="007027E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0000003" w14:textId="1271A094" w:rsidR="007027EB" w:rsidRPr="00471D30" w:rsidRDefault="00471D30">
      <w:pPr>
        <w:jc w:val="right"/>
        <w:rPr>
          <w:rFonts w:asciiTheme="majorEastAsia" w:eastAsiaTheme="majorEastAsia" w:hAnsiTheme="majorEastAsia" w:cs="Arial Unicode MS"/>
          <w:sz w:val="24"/>
          <w:szCs w:val="24"/>
        </w:rPr>
      </w:pPr>
      <w:r w:rsidRPr="00471D30">
        <w:rPr>
          <w:rFonts w:asciiTheme="majorEastAsia" w:eastAsiaTheme="majorEastAsia" w:hAnsiTheme="majorEastAsia" w:cs="Arial Unicode MS"/>
          <w:sz w:val="24"/>
          <w:szCs w:val="24"/>
        </w:rPr>
        <w:t>108</w:t>
      </w:r>
      <w:r w:rsidRPr="00471D30">
        <w:rPr>
          <w:rFonts w:asciiTheme="majorEastAsia" w:eastAsiaTheme="majorEastAsia" w:hAnsiTheme="majorEastAsia" w:cs="Arial Unicode MS"/>
          <w:sz w:val="24"/>
          <w:szCs w:val="24"/>
        </w:rPr>
        <w:t>學年度</w:t>
      </w:r>
      <w:r w:rsidRPr="00471D30">
        <w:rPr>
          <w:rFonts w:asciiTheme="majorEastAsia" w:eastAsiaTheme="majorEastAsia" w:hAnsiTheme="majorEastAsia" w:cs="Arial Unicode MS"/>
          <w:sz w:val="24"/>
          <w:szCs w:val="24"/>
        </w:rPr>
        <w:t>6</w:t>
      </w:r>
      <w:r w:rsidRPr="00471D30">
        <w:rPr>
          <w:rFonts w:asciiTheme="majorEastAsia" w:eastAsiaTheme="majorEastAsia" w:hAnsiTheme="majorEastAsia" w:cs="Arial Unicode MS"/>
          <w:sz w:val="24"/>
          <w:szCs w:val="24"/>
        </w:rPr>
        <w:t>月</w:t>
      </w:r>
      <w:r w:rsidRPr="00471D30">
        <w:rPr>
          <w:rFonts w:asciiTheme="majorEastAsia" w:eastAsiaTheme="majorEastAsia" w:hAnsiTheme="majorEastAsia" w:cs="Arial Unicode MS"/>
          <w:sz w:val="24"/>
          <w:szCs w:val="24"/>
        </w:rPr>
        <w:t>23</w:t>
      </w:r>
      <w:r w:rsidRPr="00471D30">
        <w:rPr>
          <w:rFonts w:asciiTheme="majorEastAsia" w:eastAsiaTheme="majorEastAsia" w:hAnsiTheme="majorEastAsia" w:cs="Arial Unicode MS"/>
          <w:sz w:val="24"/>
          <w:szCs w:val="24"/>
        </w:rPr>
        <w:t>日　第</w:t>
      </w:r>
      <w:r w:rsidRPr="00471D30">
        <w:rPr>
          <w:rFonts w:asciiTheme="majorEastAsia" w:eastAsiaTheme="majorEastAsia" w:hAnsiTheme="majorEastAsia" w:cs="Arial Unicode MS"/>
          <w:sz w:val="24"/>
          <w:szCs w:val="24"/>
        </w:rPr>
        <w:t>2</w:t>
      </w:r>
      <w:r w:rsidRPr="00471D30">
        <w:rPr>
          <w:rFonts w:asciiTheme="majorEastAsia" w:eastAsiaTheme="majorEastAsia" w:hAnsiTheme="majorEastAsia" w:cs="Arial Unicode MS"/>
          <w:sz w:val="24"/>
          <w:szCs w:val="24"/>
        </w:rPr>
        <w:t>學期第</w:t>
      </w:r>
      <w:r w:rsidRPr="00471D30">
        <w:rPr>
          <w:rFonts w:asciiTheme="majorEastAsia" w:eastAsiaTheme="majorEastAsia" w:hAnsiTheme="majorEastAsia" w:cs="Arial Unicode MS"/>
          <w:sz w:val="24"/>
          <w:szCs w:val="24"/>
        </w:rPr>
        <w:t>4</w:t>
      </w:r>
      <w:r w:rsidRPr="00471D30">
        <w:rPr>
          <w:rFonts w:asciiTheme="majorEastAsia" w:eastAsiaTheme="majorEastAsia" w:hAnsiTheme="majorEastAsia" w:cs="Arial Unicode MS"/>
          <w:sz w:val="24"/>
          <w:szCs w:val="24"/>
        </w:rPr>
        <w:t>次寰宇廳管理委員會議通過</w:t>
      </w:r>
    </w:p>
    <w:p w14:paraId="2C29FD0C" w14:textId="21A47F72" w:rsidR="00471D30" w:rsidRPr="00471D30" w:rsidRDefault="00471D30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471D30">
        <w:rPr>
          <w:rFonts w:asciiTheme="majorEastAsia" w:eastAsiaTheme="majorEastAsia" w:hAnsiTheme="majorEastAsia" w:cs="Arial Unicode MS"/>
          <w:sz w:val="24"/>
          <w:szCs w:val="24"/>
        </w:rPr>
        <w:t>110</w:t>
      </w:r>
      <w:r w:rsidRPr="00471D30">
        <w:rPr>
          <w:rFonts w:asciiTheme="majorEastAsia" w:eastAsiaTheme="majorEastAsia" w:hAnsiTheme="majorEastAsia" w:cs="Arial Unicode MS" w:hint="eastAsia"/>
          <w:sz w:val="24"/>
          <w:szCs w:val="24"/>
        </w:rPr>
        <w:t>學年度1月21日    第1學期第1次寰宇廳管理委員會議通過</w:t>
      </w:r>
    </w:p>
    <w:p w14:paraId="00000004" w14:textId="77777777" w:rsidR="007027EB" w:rsidRPr="00471D30" w:rsidRDefault="007027E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00000005" w14:textId="77777777" w:rsidR="007027EB" w:rsidRPr="00471D30" w:rsidRDefault="00471D30">
      <w:pPr>
        <w:rPr>
          <w:rFonts w:asciiTheme="majorEastAsia" w:eastAsiaTheme="majorEastAsia" w:hAnsiTheme="majorEastAsia" w:cs="Calibri"/>
          <w:sz w:val="24"/>
          <w:szCs w:val="24"/>
        </w:rPr>
      </w:pPr>
      <w:r w:rsidRPr="00471D30">
        <w:rPr>
          <w:rFonts w:asciiTheme="majorEastAsia" w:eastAsiaTheme="majorEastAsia" w:hAnsiTheme="majorEastAsia" w:cs="Arial Unicode MS"/>
          <w:sz w:val="24"/>
          <w:szCs w:val="24"/>
        </w:rPr>
        <w:t>第一條</w:t>
      </w:r>
      <w:r w:rsidRPr="00471D30">
        <w:rPr>
          <w:rFonts w:asciiTheme="majorEastAsia" w:eastAsiaTheme="majorEastAsia" w:hAnsiTheme="majorEastAsia" w:cs="Arial Unicode MS"/>
          <w:sz w:val="24"/>
          <w:szCs w:val="24"/>
        </w:rPr>
        <w:t xml:space="preserve"> </w:t>
      </w:r>
      <w:r w:rsidRPr="00471D30">
        <w:rPr>
          <w:rFonts w:asciiTheme="majorEastAsia" w:eastAsiaTheme="majorEastAsia" w:hAnsiTheme="majorEastAsia" w:cs="Arial Unicode MS"/>
          <w:sz w:val="24"/>
          <w:szCs w:val="24"/>
        </w:rPr>
        <w:t>德芳外語大樓一</w:t>
      </w:r>
      <w:proofErr w:type="gramStart"/>
      <w:r w:rsidRPr="00471D30">
        <w:rPr>
          <w:rFonts w:asciiTheme="majorEastAsia" w:eastAsiaTheme="majorEastAsia" w:hAnsiTheme="majorEastAsia" w:cs="Arial Unicode MS"/>
          <w:sz w:val="24"/>
          <w:szCs w:val="24"/>
        </w:rPr>
        <w:t>樓稱寰宇</w:t>
      </w:r>
      <w:proofErr w:type="gramEnd"/>
      <w:r w:rsidRPr="00471D30">
        <w:rPr>
          <w:rFonts w:asciiTheme="majorEastAsia" w:eastAsiaTheme="majorEastAsia" w:hAnsiTheme="majorEastAsia" w:cs="Arial Unicode MS"/>
          <w:sz w:val="24"/>
          <w:szCs w:val="24"/>
        </w:rPr>
        <w:t>廳</w:t>
      </w:r>
      <w:r w:rsidRPr="00471D30">
        <w:rPr>
          <w:rFonts w:asciiTheme="majorEastAsia" w:eastAsiaTheme="majorEastAsia" w:hAnsiTheme="majorEastAsia" w:cs="Arial Unicode MS"/>
          <w:sz w:val="24"/>
          <w:szCs w:val="24"/>
        </w:rPr>
        <w:t>(</w:t>
      </w:r>
      <w:r w:rsidRPr="00471D30">
        <w:rPr>
          <w:rFonts w:asciiTheme="majorEastAsia" w:eastAsiaTheme="majorEastAsia" w:hAnsiTheme="majorEastAsia" w:cs="Arial Unicode MS"/>
          <w:sz w:val="24"/>
          <w:szCs w:val="24"/>
        </w:rPr>
        <w:t>又名</w:t>
      </w:r>
      <w:r w:rsidRPr="00471D30">
        <w:rPr>
          <w:rFonts w:asciiTheme="majorEastAsia" w:eastAsiaTheme="majorEastAsia" w:hAnsiTheme="majorEastAsia" w:cs="Arial Unicode MS"/>
          <w:sz w:val="24"/>
          <w:szCs w:val="24"/>
        </w:rPr>
        <w:t>Global Lounge)</w:t>
      </w:r>
      <w:r w:rsidRPr="00471D30">
        <w:rPr>
          <w:rFonts w:asciiTheme="majorEastAsia" w:eastAsiaTheme="majorEastAsia" w:hAnsiTheme="majorEastAsia" w:cs="Arial Unicode MS"/>
          <w:sz w:val="24"/>
          <w:szCs w:val="24"/>
        </w:rPr>
        <w:t>，為師生</w:t>
      </w:r>
      <w:r w:rsidRPr="00471D30">
        <w:rPr>
          <w:rFonts w:asciiTheme="majorEastAsia" w:eastAsiaTheme="majorEastAsia" w:hAnsiTheme="majorEastAsia" w:cs="Calibri"/>
          <w:sz w:val="24"/>
          <w:szCs w:val="24"/>
        </w:rPr>
        <w:t>學習、活動與交誼中心，其主要功能為舉行文化交流活動、創意教學活動、國際化自主學習及學生交誼與討論。</w:t>
      </w:r>
    </w:p>
    <w:p w14:paraId="00000006" w14:textId="77777777" w:rsidR="007027EB" w:rsidRPr="00471D30" w:rsidRDefault="007027EB">
      <w:pPr>
        <w:rPr>
          <w:rFonts w:asciiTheme="majorEastAsia" w:eastAsiaTheme="majorEastAsia" w:hAnsiTheme="majorEastAsia" w:cs="Calibri"/>
          <w:sz w:val="24"/>
          <w:szCs w:val="24"/>
        </w:rPr>
      </w:pPr>
    </w:p>
    <w:p w14:paraId="00000007" w14:textId="77777777" w:rsidR="007027EB" w:rsidRPr="00471D30" w:rsidRDefault="00471D30">
      <w:pPr>
        <w:rPr>
          <w:rFonts w:asciiTheme="majorEastAsia" w:eastAsiaTheme="majorEastAsia" w:hAnsiTheme="majorEastAsia" w:cs="Calibri"/>
          <w:sz w:val="24"/>
          <w:szCs w:val="24"/>
        </w:rPr>
      </w:pPr>
      <w:r w:rsidRPr="00471D30">
        <w:rPr>
          <w:rFonts w:asciiTheme="majorEastAsia" w:eastAsiaTheme="majorEastAsia" w:hAnsiTheme="majorEastAsia" w:cs="Calibri"/>
          <w:sz w:val="24"/>
          <w:szCs w:val="24"/>
        </w:rPr>
        <w:t>第二條</w:t>
      </w:r>
      <w:r w:rsidRPr="00471D30">
        <w:rPr>
          <w:rFonts w:asciiTheme="majorEastAsia" w:eastAsiaTheme="majorEastAsia" w:hAnsiTheme="majorEastAsia" w:cs="Calibri"/>
          <w:sz w:val="24"/>
          <w:szCs w:val="24"/>
        </w:rPr>
        <w:t xml:space="preserve"> </w:t>
      </w:r>
      <w:r w:rsidRPr="00471D30">
        <w:rPr>
          <w:rFonts w:asciiTheme="majorEastAsia" w:eastAsiaTheme="majorEastAsia" w:hAnsiTheme="majorEastAsia" w:cs="Calibri"/>
          <w:sz w:val="24"/>
          <w:szCs w:val="24"/>
        </w:rPr>
        <w:t>為有效維護及管理寰宇廳之環境及品質，特設立「</w:t>
      </w:r>
      <w:r w:rsidRPr="00471D30">
        <w:rPr>
          <w:rFonts w:asciiTheme="majorEastAsia" w:eastAsiaTheme="majorEastAsia" w:hAnsiTheme="majorEastAsia" w:cs="Arial Unicode MS"/>
          <w:sz w:val="24"/>
          <w:szCs w:val="24"/>
        </w:rPr>
        <w:t>輔仁大學德芳外語大樓寰宇廳管理辦法</w:t>
      </w:r>
      <w:r w:rsidRPr="00471D30">
        <w:rPr>
          <w:rFonts w:asciiTheme="majorEastAsia" w:eastAsiaTheme="majorEastAsia" w:hAnsiTheme="majorEastAsia" w:cs="Calibri"/>
          <w:sz w:val="24"/>
          <w:szCs w:val="24"/>
        </w:rPr>
        <w:t>」及成立「寰宇廳管理委員會」。</w:t>
      </w:r>
    </w:p>
    <w:p w14:paraId="00000008" w14:textId="77777777" w:rsidR="007027EB" w:rsidRPr="00471D30" w:rsidRDefault="007027EB">
      <w:pPr>
        <w:rPr>
          <w:rFonts w:asciiTheme="majorEastAsia" w:eastAsiaTheme="majorEastAsia" w:hAnsiTheme="majorEastAsia" w:cs="Calibri"/>
          <w:sz w:val="24"/>
          <w:szCs w:val="24"/>
        </w:rPr>
      </w:pPr>
    </w:p>
    <w:p w14:paraId="00000009" w14:textId="77777777" w:rsidR="007027EB" w:rsidRPr="00471D30" w:rsidRDefault="00471D30">
      <w:pPr>
        <w:rPr>
          <w:rFonts w:asciiTheme="majorEastAsia" w:eastAsiaTheme="majorEastAsia" w:hAnsiTheme="majorEastAsia" w:cs="Calibri"/>
          <w:sz w:val="24"/>
          <w:szCs w:val="24"/>
        </w:rPr>
      </w:pPr>
      <w:r w:rsidRPr="00471D30">
        <w:rPr>
          <w:rFonts w:asciiTheme="majorEastAsia" w:eastAsiaTheme="majorEastAsia" w:hAnsiTheme="majorEastAsia" w:cs="Calibri"/>
          <w:sz w:val="24"/>
          <w:szCs w:val="24"/>
        </w:rPr>
        <w:t>第三條</w:t>
      </w:r>
      <w:r w:rsidRPr="00471D30">
        <w:rPr>
          <w:rFonts w:asciiTheme="majorEastAsia" w:eastAsiaTheme="majorEastAsia" w:hAnsiTheme="majorEastAsia" w:cs="Calibri"/>
          <w:sz w:val="24"/>
          <w:szCs w:val="24"/>
        </w:rPr>
        <w:t xml:space="preserve"> </w:t>
      </w:r>
      <w:r w:rsidRPr="00471D30">
        <w:rPr>
          <w:rFonts w:asciiTheme="majorEastAsia" w:eastAsiaTheme="majorEastAsia" w:hAnsiTheme="majorEastAsia" w:cs="Calibri"/>
          <w:sz w:val="24"/>
          <w:szCs w:val="24"/>
        </w:rPr>
        <w:t>「寰宇廳管理委員會」職掌如下：</w:t>
      </w:r>
    </w:p>
    <w:p w14:paraId="0000000A" w14:textId="77777777" w:rsidR="007027EB" w:rsidRPr="00471D30" w:rsidRDefault="00471D30">
      <w:pPr>
        <w:numPr>
          <w:ilvl w:val="0"/>
          <w:numId w:val="1"/>
        </w:numPr>
        <w:rPr>
          <w:rFonts w:asciiTheme="majorEastAsia" w:eastAsiaTheme="majorEastAsia" w:hAnsiTheme="majorEastAsia" w:cs="Calibri"/>
          <w:sz w:val="24"/>
          <w:szCs w:val="24"/>
        </w:rPr>
      </w:pPr>
      <w:r w:rsidRPr="00471D30">
        <w:rPr>
          <w:rFonts w:asciiTheme="majorEastAsia" w:eastAsiaTheme="majorEastAsia" w:hAnsiTheme="majorEastAsia" w:cs="Calibri"/>
          <w:sz w:val="24"/>
          <w:szCs w:val="24"/>
        </w:rPr>
        <w:t>制定空間國際化運用之目標與管理辦法；</w:t>
      </w:r>
    </w:p>
    <w:p w14:paraId="0000000B" w14:textId="77777777" w:rsidR="007027EB" w:rsidRPr="00471D30" w:rsidRDefault="00471D30">
      <w:pPr>
        <w:numPr>
          <w:ilvl w:val="0"/>
          <w:numId w:val="1"/>
        </w:numPr>
        <w:rPr>
          <w:rFonts w:asciiTheme="majorEastAsia" w:eastAsiaTheme="majorEastAsia" w:hAnsiTheme="majorEastAsia" w:cs="Calibri"/>
          <w:sz w:val="24"/>
          <w:szCs w:val="24"/>
        </w:rPr>
      </w:pPr>
      <w:r w:rsidRPr="00471D30">
        <w:rPr>
          <w:rFonts w:asciiTheme="majorEastAsia" w:eastAsiaTheme="majorEastAsia" w:hAnsiTheme="majorEastAsia" w:cs="Calibri"/>
          <w:sz w:val="24"/>
          <w:szCs w:val="24"/>
        </w:rPr>
        <w:t>檢視執行成效、收支狀況與運用方式。</w:t>
      </w:r>
    </w:p>
    <w:p w14:paraId="0000000C" w14:textId="77777777" w:rsidR="007027EB" w:rsidRPr="00471D30" w:rsidRDefault="007027EB">
      <w:pPr>
        <w:rPr>
          <w:rFonts w:asciiTheme="majorEastAsia" w:eastAsiaTheme="majorEastAsia" w:hAnsiTheme="majorEastAsia" w:cs="Calibri"/>
          <w:sz w:val="24"/>
          <w:szCs w:val="24"/>
        </w:rPr>
      </w:pPr>
    </w:p>
    <w:p w14:paraId="0000000D" w14:textId="77777777" w:rsidR="007027EB" w:rsidRPr="00471D30" w:rsidRDefault="00471D30">
      <w:pPr>
        <w:rPr>
          <w:rFonts w:asciiTheme="majorEastAsia" w:eastAsiaTheme="majorEastAsia" w:hAnsiTheme="majorEastAsia" w:cs="Calibri"/>
          <w:sz w:val="24"/>
          <w:szCs w:val="24"/>
        </w:rPr>
      </w:pPr>
      <w:r w:rsidRPr="00471D30">
        <w:rPr>
          <w:rFonts w:asciiTheme="majorEastAsia" w:eastAsiaTheme="majorEastAsia" w:hAnsiTheme="majorEastAsia" w:cs="Calibri"/>
          <w:sz w:val="24"/>
          <w:szCs w:val="24"/>
        </w:rPr>
        <w:t>第四條</w:t>
      </w:r>
      <w:r w:rsidRPr="00471D30">
        <w:rPr>
          <w:rFonts w:asciiTheme="majorEastAsia" w:eastAsiaTheme="majorEastAsia" w:hAnsiTheme="majorEastAsia" w:cs="Calibri"/>
          <w:sz w:val="24"/>
          <w:szCs w:val="24"/>
        </w:rPr>
        <w:t xml:space="preserve"> </w:t>
      </w:r>
      <w:r w:rsidRPr="00471D30">
        <w:rPr>
          <w:rFonts w:asciiTheme="majorEastAsia" w:eastAsiaTheme="majorEastAsia" w:hAnsiTheme="majorEastAsia" w:cs="Calibri"/>
          <w:sz w:val="24"/>
          <w:szCs w:val="24"/>
        </w:rPr>
        <w:t>「寰宇廳管理委員會」之召集人為外語學院院長；成員為：國際及兩岸教育處國際教育長、外語學院國際發展副院長、國際學生中心主任、外語學院系所主管代表、外語教學資源與數位學習中心主任。教務長及總務長列席指導。</w:t>
      </w:r>
    </w:p>
    <w:p w14:paraId="0000000E" w14:textId="77777777" w:rsidR="007027EB" w:rsidRPr="00471D30" w:rsidRDefault="007027EB">
      <w:pPr>
        <w:rPr>
          <w:rFonts w:asciiTheme="majorEastAsia" w:eastAsiaTheme="majorEastAsia" w:hAnsiTheme="majorEastAsia" w:cs="Calibri"/>
          <w:sz w:val="24"/>
          <w:szCs w:val="24"/>
        </w:rPr>
      </w:pPr>
    </w:p>
    <w:p w14:paraId="0000000F" w14:textId="77777777" w:rsidR="007027EB" w:rsidRPr="00471D30" w:rsidRDefault="00471D30">
      <w:pPr>
        <w:rPr>
          <w:rFonts w:asciiTheme="majorEastAsia" w:eastAsiaTheme="majorEastAsia" w:hAnsiTheme="majorEastAsia" w:cs="Calibri"/>
          <w:sz w:val="24"/>
          <w:szCs w:val="24"/>
          <w:highlight w:val="white"/>
        </w:rPr>
      </w:pPr>
      <w:r w:rsidRPr="00471D30">
        <w:rPr>
          <w:rFonts w:asciiTheme="majorEastAsia" w:eastAsiaTheme="majorEastAsia" w:hAnsiTheme="majorEastAsia" w:cs="Calibri"/>
          <w:sz w:val="24"/>
          <w:szCs w:val="24"/>
        </w:rPr>
        <w:t>第五條</w:t>
      </w:r>
      <w:r w:rsidRPr="00471D30">
        <w:rPr>
          <w:rFonts w:asciiTheme="majorEastAsia" w:eastAsiaTheme="majorEastAsia" w:hAnsiTheme="majorEastAsia" w:cs="Calibri"/>
          <w:sz w:val="24"/>
          <w:szCs w:val="24"/>
        </w:rPr>
        <w:t xml:space="preserve"> </w:t>
      </w:r>
      <w:r w:rsidRPr="00471D30">
        <w:rPr>
          <w:rFonts w:asciiTheme="majorEastAsia" w:eastAsiaTheme="majorEastAsia" w:hAnsiTheme="majorEastAsia" w:cs="Calibri"/>
          <w:sz w:val="24"/>
          <w:szCs w:val="24"/>
        </w:rPr>
        <w:t>寰</w:t>
      </w:r>
      <w:r w:rsidRPr="00471D30">
        <w:rPr>
          <w:rFonts w:asciiTheme="majorEastAsia" w:eastAsiaTheme="majorEastAsia" w:hAnsiTheme="majorEastAsia" w:cs="Calibri"/>
          <w:sz w:val="24"/>
          <w:szCs w:val="24"/>
          <w:highlight w:val="white"/>
        </w:rPr>
        <w:t>宇廳由總務處統籌，委託外語學院管理，並由外語學院協同外教中心共同維護。</w:t>
      </w:r>
      <w:bookmarkStart w:id="0" w:name="_GoBack"/>
      <w:bookmarkEnd w:id="0"/>
    </w:p>
    <w:p w14:paraId="00000010" w14:textId="77777777" w:rsidR="007027EB" w:rsidRPr="00471D30" w:rsidRDefault="007027EB">
      <w:pPr>
        <w:rPr>
          <w:rFonts w:asciiTheme="majorEastAsia" w:eastAsiaTheme="majorEastAsia" w:hAnsiTheme="majorEastAsia" w:cs="Calibri"/>
          <w:sz w:val="24"/>
          <w:szCs w:val="24"/>
          <w:highlight w:val="white"/>
        </w:rPr>
      </w:pPr>
    </w:p>
    <w:p w14:paraId="00000011" w14:textId="77777777" w:rsidR="007027EB" w:rsidRPr="00471D30" w:rsidRDefault="00471D30">
      <w:pPr>
        <w:rPr>
          <w:rFonts w:asciiTheme="majorEastAsia" w:eastAsiaTheme="majorEastAsia" w:hAnsiTheme="majorEastAsia" w:cs="Calibri"/>
          <w:sz w:val="24"/>
          <w:szCs w:val="24"/>
          <w:highlight w:val="white"/>
        </w:rPr>
      </w:pPr>
      <w:r w:rsidRPr="00471D30">
        <w:rPr>
          <w:rFonts w:asciiTheme="majorEastAsia" w:eastAsiaTheme="majorEastAsia" w:hAnsiTheme="majorEastAsia" w:cs="Calibri"/>
          <w:sz w:val="24"/>
          <w:szCs w:val="24"/>
          <w:highlight w:val="white"/>
        </w:rPr>
        <w:t>第六條</w:t>
      </w:r>
      <w:r w:rsidRPr="00471D30">
        <w:rPr>
          <w:rFonts w:asciiTheme="majorEastAsia" w:eastAsiaTheme="majorEastAsia" w:hAnsiTheme="majorEastAsia" w:cs="Calibri"/>
          <w:sz w:val="24"/>
          <w:szCs w:val="24"/>
          <w:highlight w:val="white"/>
        </w:rPr>
        <w:t xml:space="preserve"> </w:t>
      </w:r>
      <w:r w:rsidRPr="00471D30">
        <w:rPr>
          <w:rFonts w:asciiTheme="majorEastAsia" w:eastAsiaTheme="majorEastAsia" w:hAnsiTheme="majorEastAsia" w:cs="Calibri"/>
          <w:sz w:val="24"/>
          <w:szCs w:val="24"/>
          <w:highlight w:val="white"/>
        </w:rPr>
        <w:t>寰宇廳開放時間為：學期中週一～週五</w:t>
      </w:r>
      <w:r w:rsidRPr="00471D30">
        <w:rPr>
          <w:rFonts w:asciiTheme="majorEastAsia" w:eastAsiaTheme="majorEastAsia" w:hAnsiTheme="majorEastAsia" w:cs="Calibri"/>
          <w:sz w:val="24"/>
          <w:szCs w:val="24"/>
          <w:highlight w:val="white"/>
        </w:rPr>
        <w:t>8:00~21:00</w:t>
      </w:r>
      <w:r w:rsidRPr="00471D30">
        <w:rPr>
          <w:rFonts w:asciiTheme="majorEastAsia" w:eastAsiaTheme="majorEastAsia" w:hAnsiTheme="majorEastAsia" w:cs="Calibri"/>
          <w:sz w:val="24"/>
          <w:szCs w:val="24"/>
          <w:highlight w:val="white"/>
        </w:rPr>
        <w:t>；寒暑假原則上不開放。</w:t>
      </w:r>
    </w:p>
    <w:p w14:paraId="00000012" w14:textId="77777777" w:rsidR="007027EB" w:rsidRPr="00471D30" w:rsidRDefault="007027EB">
      <w:pPr>
        <w:rPr>
          <w:rFonts w:asciiTheme="majorEastAsia" w:eastAsiaTheme="majorEastAsia" w:hAnsiTheme="majorEastAsia" w:cs="Calibri"/>
          <w:sz w:val="24"/>
          <w:szCs w:val="24"/>
        </w:rPr>
      </w:pPr>
    </w:p>
    <w:p w14:paraId="00000013" w14:textId="77777777" w:rsidR="007027EB" w:rsidRPr="00471D30" w:rsidRDefault="00471D30">
      <w:pPr>
        <w:rPr>
          <w:rFonts w:asciiTheme="majorEastAsia" w:eastAsiaTheme="majorEastAsia" w:hAnsiTheme="majorEastAsia" w:cs="Calibri"/>
          <w:sz w:val="24"/>
          <w:szCs w:val="24"/>
        </w:rPr>
      </w:pPr>
      <w:r w:rsidRPr="00471D30">
        <w:rPr>
          <w:rFonts w:asciiTheme="majorEastAsia" w:eastAsiaTheme="majorEastAsia" w:hAnsiTheme="majorEastAsia" w:cs="Calibri"/>
          <w:sz w:val="24"/>
          <w:szCs w:val="24"/>
        </w:rPr>
        <w:t>第七條</w:t>
      </w:r>
      <w:r w:rsidRPr="00471D30">
        <w:rPr>
          <w:rFonts w:asciiTheme="majorEastAsia" w:eastAsiaTheme="majorEastAsia" w:hAnsiTheme="majorEastAsia" w:cs="Calibri"/>
          <w:sz w:val="24"/>
          <w:szCs w:val="24"/>
        </w:rPr>
        <w:t xml:space="preserve"> </w:t>
      </w:r>
      <w:r w:rsidRPr="00471D30">
        <w:rPr>
          <w:rFonts w:asciiTheme="majorEastAsia" w:eastAsiaTheme="majorEastAsia" w:hAnsiTheme="majorEastAsia" w:cs="Calibri"/>
          <w:sz w:val="24"/>
          <w:szCs w:val="24"/>
        </w:rPr>
        <w:t>寰宇廳之行為規範包含：</w:t>
      </w:r>
    </w:p>
    <w:p w14:paraId="00000014" w14:textId="77777777" w:rsidR="007027EB" w:rsidRPr="00471D30" w:rsidRDefault="00471D30">
      <w:pPr>
        <w:numPr>
          <w:ilvl w:val="0"/>
          <w:numId w:val="2"/>
        </w:numPr>
        <w:rPr>
          <w:rFonts w:asciiTheme="majorEastAsia" w:eastAsiaTheme="majorEastAsia" w:hAnsiTheme="majorEastAsia" w:cs="Calibri"/>
          <w:sz w:val="24"/>
          <w:szCs w:val="24"/>
        </w:rPr>
      </w:pPr>
      <w:r w:rsidRPr="00471D30">
        <w:rPr>
          <w:rFonts w:asciiTheme="majorEastAsia" w:eastAsiaTheme="majorEastAsia" w:hAnsiTheme="majorEastAsia" w:cs="Calibri"/>
          <w:sz w:val="24"/>
          <w:szCs w:val="24"/>
        </w:rPr>
        <w:t>禁止抽煙</w:t>
      </w:r>
    </w:p>
    <w:p w14:paraId="50929FA7" w14:textId="77777777" w:rsidR="00471D30" w:rsidRPr="00471D30" w:rsidRDefault="00471D30">
      <w:pPr>
        <w:numPr>
          <w:ilvl w:val="0"/>
          <w:numId w:val="2"/>
        </w:numPr>
        <w:rPr>
          <w:rFonts w:asciiTheme="majorEastAsia" w:eastAsiaTheme="majorEastAsia" w:hAnsiTheme="majorEastAsia" w:cs="Calibri"/>
          <w:sz w:val="24"/>
          <w:szCs w:val="24"/>
        </w:rPr>
      </w:pPr>
      <w:r w:rsidRPr="00471D30">
        <w:rPr>
          <w:rFonts w:asciiTheme="majorEastAsia" w:eastAsiaTheme="majorEastAsia" w:hAnsiTheme="majorEastAsia" w:cs="Calibri" w:hint="eastAsia"/>
          <w:sz w:val="24"/>
          <w:szCs w:val="24"/>
        </w:rPr>
        <w:t>禁止飲食（飲食區除外）</w:t>
      </w:r>
    </w:p>
    <w:p w14:paraId="00000016" w14:textId="5835CEE5" w:rsidR="007027EB" w:rsidRPr="00471D30" w:rsidRDefault="00471D30">
      <w:pPr>
        <w:numPr>
          <w:ilvl w:val="0"/>
          <w:numId w:val="2"/>
        </w:numPr>
        <w:rPr>
          <w:rFonts w:asciiTheme="majorEastAsia" w:eastAsiaTheme="majorEastAsia" w:hAnsiTheme="majorEastAsia" w:cs="Calibri"/>
          <w:sz w:val="24"/>
          <w:szCs w:val="24"/>
        </w:rPr>
      </w:pPr>
      <w:r w:rsidRPr="00471D30">
        <w:rPr>
          <w:rFonts w:asciiTheme="majorEastAsia" w:eastAsiaTheme="majorEastAsia" w:hAnsiTheme="majorEastAsia" w:cs="Calibri"/>
          <w:sz w:val="24"/>
          <w:szCs w:val="24"/>
        </w:rPr>
        <w:t>保持乾淨</w:t>
      </w:r>
      <w:r w:rsidRPr="00471D30">
        <w:rPr>
          <w:rFonts w:asciiTheme="majorEastAsia" w:eastAsiaTheme="majorEastAsia" w:hAnsiTheme="majorEastAsia" w:cs="Calibri" w:hint="eastAsia"/>
          <w:sz w:val="24"/>
          <w:szCs w:val="24"/>
        </w:rPr>
        <w:t>，務必帶走個人物品及垃圾。</w:t>
      </w:r>
    </w:p>
    <w:p w14:paraId="00000017" w14:textId="77777777" w:rsidR="007027EB" w:rsidRPr="00471D30" w:rsidRDefault="00471D30">
      <w:pPr>
        <w:numPr>
          <w:ilvl w:val="0"/>
          <w:numId w:val="2"/>
        </w:numPr>
        <w:rPr>
          <w:rFonts w:asciiTheme="majorEastAsia" w:eastAsiaTheme="majorEastAsia" w:hAnsiTheme="majorEastAsia" w:cs="Calibri"/>
          <w:sz w:val="24"/>
          <w:szCs w:val="24"/>
        </w:rPr>
      </w:pPr>
      <w:r w:rsidRPr="00471D30">
        <w:rPr>
          <w:rFonts w:asciiTheme="majorEastAsia" w:eastAsiaTheme="majorEastAsia" w:hAnsiTheme="majorEastAsia" w:cs="Calibri"/>
          <w:sz w:val="24"/>
          <w:szCs w:val="24"/>
        </w:rPr>
        <w:t>使用</w:t>
      </w:r>
      <w:proofErr w:type="spellStart"/>
      <w:r w:rsidRPr="00471D30">
        <w:rPr>
          <w:rFonts w:asciiTheme="majorEastAsia" w:eastAsiaTheme="majorEastAsia" w:hAnsiTheme="majorEastAsia" w:cs="Calibri"/>
          <w:sz w:val="24"/>
          <w:szCs w:val="24"/>
        </w:rPr>
        <w:t>imac</w:t>
      </w:r>
      <w:proofErr w:type="spellEnd"/>
      <w:r w:rsidRPr="00471D30">
        <w:rPr>
          <w:rFonts w:asciiTheme="majorEastAsia" w:eastAsiaTheme="majorEastAsia" w:hAnsiTheme="majorEastAsia" w:cs="Calibri"/>
          <w:sz w:val="24"/>
          <w:szCs w:val="24"/>
        </w:rPr>
        <w:t>限時</w:t>
      </w:r>
      <w:r w:rsidRPr="00471D30">
        <w:rPr>
          <w:rFonts w:asciiTheme="majorEastAsia" w:eastAsiaTheme="majorEastAsia" w:hAnsiTheme="majorEastAsia" w:cs="Calibri"/>
          <w:sz w:val="24"/>
          <w:szCs w:val="24"/>
        </w:rPr>
        <w:t>1</w:t>
      </w:r>
      <w:r w:rsidRPr="00471D30">
        <w:rPr>
          <w:rFonts w:asciiTheme="majorEastAsia" w:eastAsiaTheme="majorEastAsia" w:hAnsiTheme="majorEastAsia" w:cs="Calibri"/>
          <w:sz w:val="24"/>
          <w:szCs w:val="24"/>
        </w:rPr>
        <w:t>小時</w:t>
      </w:r>
    </w:p>
    <w:p w14:paraId="00000018" w14:textId="77777777" w:rsidR="007027EB" w:rsidRPr="00471D30" w:rsidRDefault="00471D30">
      <w:pPr>
        <w:numPr>
          <w:ilvl w:val="0"/>
          <w:numId w:val="2"/>
        </w:numPr>
        <w:rPr>
          <w:rFonts w:asciiTheme="majorEastAsia" w:eastAsiaTheme="majorEastAsia" w:hAnsiTheme="majorEastAsia" w:cs="Calibri"/>
          <w:sz w:val="24"/>
          <w:szCs w:val="24"/>
        </w:rPr>
      </w:pPr>
      <w:r w:rsidRPr="00471D30">
        <w:rPr>
          <w:rFonts w:asciiTheme="majorEastAsia" w:eastAsiaTheme="majorEastAsia" w:hAnsiTheme="majorEastAsia" w:cs="Arial Unicode MS"/>
          <w:sz w:val="24"/>
          <w:szCs w:val="24"/>
        </w:rPr>
        <w:t>保持安靜</w:t>
      </w:r>
    </w:p>
    <w:p w14:paraId="00000019" w14:textId="77777777" w:rsidR="007027EB" w:rsidRPr="00471D30" w:rsidRDefault="00471D30">
      <w:pPr>
        <w:numPr>
          <w:ilvl w:val="0"/>
          <w:numId w:val="2"/>
        </w:numPr>
        <w:rPr>
          <w:rFonts w:asciiTheme="majorEastAsia" w:eastAsiaTheme="majorEastAsia" w:hAnsiTheme="majorEastAsia" w:cs="Calibri"/>
          <w:sz w:val="24"/>
          <w:szCs w:val="24"/>
        </w:rPr>
      </w:pPr>
      <w:r w:rsidRPr="00471D30">
        <w:rPr>
          <w:rFonts w:asciiTheme="majorEastAsia" w:eastAsiaTheme="majorEastAsia" w:hAnsiTheme="majorEastAsia" w:cs="Arial Unicode MS"/>
          <w:sz w:val="24"/>
          <w:szCs w:val="24"/>
        </w:rPr>
        <w:t>愛惜公物</w:t>
      </w:r>
      <w:r w:rsidRPr="00471D30">
        <w:rPr>
          <w:rFonts w:asciiTheme="majorEastAsia" w:eastAsiaTheme="majorEastAsia" w:hAnsiTheme="majorEastAsia" w:cs="Calibri"/>
          <w:sz w:val="24"/>
          <w:szCs w:val="24"/>
        </w:rPr>
        <w:t>；錄影中請微笑</w:t>
      </w:r>
    </w:p>
    <w:p w14:paraId="0000001A" w14:textId="77777777" w:rsidR="007027EB" w:rsidRPr="00471D30" w:rsidRDefault="00471D30">
      <w:pPr>
        <w:numPr>
          <w:ilvl w:val="0"/>
          <w:numId w:val="2"/>
        </w:numPr>
        <w:rPr>
          <w:rFonts w:asciiTheme="majorEastAsia" w:eastAsiaTheme="majorEastAsia" w:hAnsiTheme="majorEastAsia" w:cs="Calibri"/>
          <w:sz w:val="24"/>
          <w:szCs w:val="24"/>
        </w:rPr>
      </w:pPr>
      <w:r w:rsidRPr="00471D30">
        <w:rPr>
          <w:rFonts w:asciiTheme="majorEastAsia" w:eastAsiaTheme="majorEastAsia" w:hAnsiTheme="majorEastAsia" w:cs="Arial Unicode MS"/>
          <w:sz w:val="24"/>
          <w:szCs w:val="24"/>
        </w:rPr>
        <w:t>留意個人物品安全</w:t>
      </w:r>
    </w:p>
    <w:p w14:paraId="0000001B" w14:textId="77777777" w:rsidR="007027EB" w:rsidRPr="00471D30" w:rsidRDefault="00471D30">
      <w:pPr>
        <w:numPr>
          <w:ilvl w:val="0"/>
          <w:numId w:val="2"/>
        </w:numPr>
        <w:rPr>
          <w:rFonts w:asciiTheme="majorEastAsia" w:eastAsiaTheme="majorEastAsia" w:hAnsiTheme="majorEastAsia" w:cs="Calibri"/>
          <w:sz w:val="24"/>
          <w:szCs w:val="24"/>
        </w:rPr>
      </w:pPr>
      <w:r w:rsidRPr="00471D30">
        <w:rPr>
          <w:rFonts w:asciiTheme="majorEastAsia" w:eastAsiaTheme="majorEastAsia" w:hAnsiTheme="majorEastAsia" w:cs="Arial Unicode MS"/>
          <w:sz w:val="24"/>
          <w:szCs w:val="24"/>
        </w:rPr>
        <w:t>寰宇廳相關事宜請洽外語學院</w:t>
      </w:r>
      <w:r w:rsidRPr="00471D30">
        <w:rPr>
          <w:rFonts w:asciiTheme="majorEastAsia" w:eastAsiaTheme="majorEastAsia" w:hAnsiTheme="majorEastAsia" w:cs="Arial Unicode MS"/>
          <w:sz w:val="24"/>
          <w:szCs w:val="24"/>
        </w:rPr>
        <w:t>02-2905-3307</w:t>
      </w:r>
    </w:p>
    <w:p w14:paraId="0000001C" w14:textId="77777777" w:rsidR="007027EB" w:rsidRPr="00471D30" w:rsidRDefault="007027EB">
      <w:pPr>
        <w:rPr>
          <w:rFonts w:asciiTheme="majorEastAsia" w:eastAsiaTheme="majorEastAsia" w:hAnsiTheme="majorEastAsia"/>
          <w:sz w:val="24"/>
          <w:szCs w:val="24"/>
        </w:rPr>
      </w:pPr>
    </w:p>
    <w:p w14:paraId="0000001D" w14:textId="77777777" w:rsidR="007027EB" w:rsidRPr="00471D30" w:rsidRDefault="00471D30">
      <w:pPr>
        <w:rPr>
          <w:rFonts w:asciiTheme="majorEastAsia" w:eastAsiaTheme="majorEastAsia" w:hAnsiTheme="majorEastAsia"/>
          <w:sz w:val="24"/>
          <w:szCs w:val="24"/>
        </w:rPr>
      </w:pPr>
      <w:r w:rsidRPr="00471D30">
        <w:rPr>
          <w:rFonts w:asciiTheme="majorEastAsia" w:eastAsiaTheme="majorEastAsia" w:hAnsiTheme="majorEastAsia" w:cs="Calibri"/>
          <w:sz w:val="24"/>
          <w:szCs w:val="24"/>
        </w:rPr>
        <w:t>第八條</w:t>
      </w:r>
      <w:r w:rsidRPr="00471D30">
        <w:rPr>
          <w:rFonts w:asciiTheme="majorEastAsia" w:eastAsiaTheme="majorEastAsia" w:hAnsiTheme="majorEastAsia" w:cs="Calibri"/>
          <w:sz w:val="24"/>
          <w:szCs w:val="24"/>
        </w:rPr>
        <w:t xml:space="preserve"> </w:t>
      </w:r>
      <w:r w:rsidRPr="00471D30">
        <w:rPr>
          <w:rFonts w:asciiTheme="majorEastAsia" w:eastAsiaTheme="majorEastAsia" w:hAnsiTheme="majorEastAsia" w:cs="Calibri"/>
          <w:sz w:val="24"/>
          <w:szCs w:val="24"/>
        </w:rPr>
        <w:t>本辦法經「寰宇廳管理委員會」通過後實施；修正時亦同。</w:t>
      </w:r>
      <w:r w:rsidRPr="00471D30">
        <w:rPr>
          <w:rFonts w:asciiTheme="majorEastAsia" w:eastAsiaTheme="majorEastAsia" w:hAnsiTheme="majorEastAsia" w:cs="Calibri"/>
          <w:sz w:val="24"/>
          <w:szCs w:val="24"/>
        </w:rPr>
        <w:t xml:space="preserve"> </w:t>
      </w:r>
    </w:p>
    <w:sectPr w:rsidR="007027EB" w:rsidRPr="00471D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48A4"/>
    <w:multiLevelType w:val="multilevel"/>
    <w:tmpl w:val="F7CCE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3E7BDC"/>
    <w:multiLevelType w:val="multilevel"/>
    <w:tmpl w:val="FAE483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EB"/>
    <w:rsid w:val="00471D30"/>
    <w:rsid w:val="0070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9815"/>
  <w15:docId w15:val="{DF525A92-A554-4BAF-AFDE-F288ECA4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FJUSER190523K</cp:lastModifiedBy>
  <cp:revision>2</cp:revision>
  <dcterms:created xsi:type="dcterms:W3CDTF">2022-02-15T06:53:00Z</dcterms:created>
  <dcterms:modified xsi:type="dcterms:W3CDTF">2022-02-15T06:57:00Z</dcterms:modified>
</cp:coreProperties>
</file>